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line="480" w:lineRule="auto"/>
        <w:rPr/>
      </w:pPr>
      <w:r w:rsidDel="00000000" w:rsidR="00000000" w:rsidRPr="00000000">
        <w:rPr>
          <w:rtl w:val="0"/>
        </w:rPr>
        <w:t xml:space="preserve">Niko Lopez</w:t>
      </w:r>
    </w:p>
    <w:p w:rsidR="00000000" w:rsidDel="00000000" w:rsidP="00000000" w:rsidRDefault="00000000" w:rsidRPr="00000000" w14:paraId="00000002">
      <w:pPr>
        <w:pageBreakBefore w:val="0"/>
        <w:spacing w:line="480" w:lineRule="auto"/>
        <w:rPr/>
      </w:pPr>
      <w:r w:rsidDel="00000000" w:rsidR="00000000" w:rsidRPr="00000000">
        <w:rPr>
          <w:rtl w:val="0"/>
        </w:rPr>
        <w:t xml:space="preserve">3/11/2020</w:t>
      </w:r>
    </w:p>
    <w:p w:rsidR="00000000" w:rsidDel="00000000" w:rsidP="00000000" w:rsidRDefault="00000000" w:rsidRPr="00000000" w14:paraId="00000003">
      <w:pPr>
        <w:pageBreakBefore w:val="0"/>
        <w:spacing w:line="480" w:lineRule="auto"/>
        <w:rPr/>
      </w:pPr>
      <w:r w:rsidDel="00000000" w:rsidR="00000000" w:rsidRPr="00000000">
        <w:rPr>
          <w:rtl w:val="0"/>
        </w:rPr>
      </w:r>
    </w:p>
    <w:p w:rsidR="00000000" w:rsidDel="00000000" w:rsidP="00000000" w:rsidRDefault="00000000" w:rsidRPr="00000000" w14:paraId="00000004">
      <w:pPr>
        <w:pageBreakBefore w:val="0"/>
        <w:spacing w:line="480" w:lineRule="auto"/>
        <w:jc w:val="center"/>
        <w:rPr/>
      </w:pPr>
      <w:r w:rsidDel="00000000" w:rsidR="00000000" w:rsidRPr="00000000">
        <w:rPr>
          <w:rtl w:val="0"/>
        </w:rPr>
      </w:r>
    </w:p>
    <w:p w:rsidR="00000000" w:rsidDel="00000000" w:rsidP="00000000" w:rsidRDefault="00000000" w:rsidRPr="00000000" w14:paraId="00000005">
      <w:pPr>
        <w:pageBreakBefore w:val="0"/>
        <w:spacing w:line="480" w:lineRule="auto"/>
        <w:jc w:val="center"/>
        <w:rPr>
          <w:b w:val="1"/>
        </w:rPr>
      </w:pPr>
      <w:r w:rsidDel="00000000" w:rsidR="00000000" w:rsidRPr="00000000">
        <w:rPr>
          <w:rtl w:val="0"/>
        </w:rPr>
        <w:t xml:space="preserve">Lab 3 Report: Least Cost Paths</w:t>
      </w:r>
      <w:r w:rsidDel="00000000" w:rsidR="00000000" w:rsidRPr="00000000">
        <w:rPr>
          <w:rtl w:val="0"/>
        </w:rPr>
      </w:r>
    </w:p>
    <w:p w:rsidR="00000000" w:rsidDel="00000000" w:rsidP="00000000" w:rsidRDefault="00000000" w:rsidRPr="00000000" w14:paraId="00000006">
      <w:pPr>
        <w:pageBreakBefore w:val="0"/>
        <w:spacing w:line="480" w:lineRule="auto"/>
        <w:rPr>
          <w:b w:val="1"/>
        </w:rPr>
      </w:pPr>
      <w:r w:rsidDel="00000000" w:rsidR="00000000" w:rsidRPr="00000000">
        <w:rPr>
          <w:b w:val="1"/>
          <w:rtl w:val="0"/>
        </w:rPr>
        <w:t xml:space="preserve">Introduction: </w:t>
      </w:r>
    </w:p>
    <w:p w:rsidR="00000000" w:rsidDel="00000000" w:rsidP="00000000" w:rsidRDefault="00000000" w:rsidRPr="00000000" w14:paraId="00000007">
      <w:pPr>
        <w:pageBreakBefore w:val="0"/>
        <w:spacing w:line="480" w:lineRule="auto"/>
        <w:rPr/>
      </w:pPr>
      <w:r w:rsidDel="00000000" w:rsidR="00000000" w:rsidRPr="00000000">
        <w:rPr>
          <w:rtl w:val="0"/>
        </w:rPr>
        <w:tab/>
        <w:t xml:space="preserve">Least Cost Overland paths have been used to better determine the best routes for many types of infrastructure such as power lines, as shown in the study “Routing</w:t>
      </w:r>
      <w:r w:rsidDel="00000000" w:rsidR="00000000" w:rsidRPr="00000000">
        <w:rPr>
          <w:rtl w:val="0"/>
        </w:rPr>
        <w:t xml:space="preserve"> of power lines through least-cost path analysis and multicriteria evaluation to minimize environmental impacts” (Bagli 2011). The GIS methods in the study produced an array of possible routes by utilizing a least cost path analysis. The criteria used to produce the total cost raster consisted of impacts on human health via electromagnetic radiation, impacts on the landscape/ viewshed, and impacts on the surrounding ecosystems. The selection of criteria to be used in a total cost raster and the weights that are given to each of the criteria is a critical factor in finding suitable pathways for projects such as new roads, powerlines, or pipelines.</w:t>
      </w:r>
    </w:p>
    <w:p w:rsidR="00000000" w:rsidDel="00000000" w:rsidP="00000000" w:rsidRDefault="00000000" w:rsidRPr="00000000" w14:paraId="00000008">
      <w:pPr>
        <w:pageBreakBefore w:val="0"/>
        <w:spacing w:line="480" w:lineRule="auto"/>
        <w:rPr/>
      </w:pPr>
      <w:r w:rsidDel="00000000" w:rsidR="00000000" w:rsidRPr="00000000">
        <w:rPr>
          <w:rtl w:val="0"/>
        </w:rPr>
        <w:tab/>
        <w:t xml:space="preserve">This lab focuses on tracking the probable migration paths of a fictional folklore creature called a Wolpertinger. The objective of this lab is to build a cost raster and run a least cost path analysis on the raster to determine the probable migration path. </w:t>
      </w:r>
      <w:r w:rsidDel="00000000" w:rsidR="00000000" w:rsidRPr="00000000">
        <w:rPr>
          <w:rtl w:val="0"/>
        </w:rPr>
      </w:r>
    </w:p>
    <w:p w:rsidR="00000000" w:rsidDel="00000000" w:rsidP="00000000" w:rsidRDefault="00000000" w:rsidRPr="00000000" w14:paraId="00000009">
      <w:pPr>
        <w:pageBreakBefore w:val="0"/>
        <w:spacing w:line="480" w:lineRule="auto"/>
        <w:rPr>
          <w:b w:val="1"/>
        </w:rPr>
      </w:pPr>
      <w:r w:rsidDel="00000000" w:rsidR="00000000" w:rsidRPr="00000000">
        <w:rPr>
          <w:rtl w:val="0"/>
        </w:rPr>
      </w:r>
    </w:p>
    <w:p w:rsidR="00000000" w:rsidDel="00000000" w:rsidP="00000000" w:rsidRDefault="00000000" w:rsidRPr="00000000" w14:paraId="0000000A">
      <w:pPr>
        <w:pageBreakBefore w:val="0"/>
        <w:spacing w:line="480" w:lineRule="auto"/>
        <w:rPr>
          <w:b w:val="1"/>
        </w:rPr>
      </w:pPr>
      <w:r w:rsidDel="00000000" w:rsidR="00000000" w:rsidRPr="00000000">
        <w:rPr>
          <w:b w:val="1"/>
          <w:rtl w:val="0"/>
        </w:rPr>
        <w:t xml:space="preserve">Methods:</w:t>
      </w:r>
    </w:p>
    <w:p w:rsidR="00000000" w:rsidDel="00000000" w:rsidP="00000000" w:rsidRDefault="00000000" w:rsidRPr="00000000" w14:paraId="0000000B">
      <w:pPr>
        <w:pageBreakBefore w:val="0"/>
        <w:spacing w:line="480" w:lineRule="auto"/>
        <w:rPr/>
      </w:pPr>
      <w:r w:rsidDel="00000000" w:rsidR="00000000" w:rsidRPr="00000000">
        <w:rPr>
          <w:rtl w:val="0"/>
        </w:rPr>
        <w:tab/>
        <w:t xml:space="preserve">The primary analysis done in this lab is the least cost path analysis, which is run on a total cost raster layer, compiling the costs on multiple weighted criteria. The total cost raster determines the probability that a Wolpertinger may be sighted at any given point within the study area. The criteria are as follows; wolpertingers are most likely to be found in thickly forested, steep hillsides, with no water bodies. The cost raster was put together and then a least-cost path analysis was run based on ten points of origins “dens”, producing a shapefile with the most likely paths from each den to the town of Orick, CA.</w:t>
      </w:r>
    </w:p>
    <w:p w:rsidR="00000000" w:rsidDel="00000000" w:rsidP="00000000" w:rsidRDefault="00000000" w:rsidRPr="00000000" w14:paraId="0000000C">
      <w:pPr>
        <w:pageBreakBefore w:val="0"/>
        <w:spacing w:line="480" w:lineRule="auto"/>
        <w:rPr/>
      </w:pPr>
      <w:r w:rsidDel="00000000" w:rsidR="00000000" w:rsidRPr="00000000">
        <w:rPr>
          <w:rtl w:val="0"/>
        </w:rPr>
      </w:r>
    </w:p>
    <w:p w:rsidR="00000000" w:rsidDel="00000000" w:rsidP="00000000" w:rsidRDefault="00000000" w:rsidRPr="00000000" w14:paraId="0000000D">
      <w:pPr>
        <w:pageBreakBefore w:val="0"/>
        <w:spacing w:line="480" w:lineRule="auto"/>
        <w:rPr>
          <w:b w:val="1"/>
        </w:rPr>
      </w:pPr>
      <w:r w:rsidDel="00000000" w:rsidR="00000000" w:rsidRPr="00000000">
        <w:rPr>
          <w:b w:val="1"/>
          <w:rtl w:val="0"/>
        </w:rPr>
        <w:t xml:space="preserve">Results:</w:t>
      </w:r>
    </w:p>
    <w:p w:rsidR="00000000" w:rsidDel="00000000" w:rsidP="00000000" w:rsidRDefault="00000000" w:rsidRPr="00000000" w14:paraId="0000000E">
      <w:pPr>
        <w:pageBreakBefore w:val="0"/>
        <w:spacing w:line="480" w:lineRule="auto"/>
        <w:rPr/>
      </w:pPr>
      <w:r w:rsidDel="00000000" w:rsidR="00000000" w:rsidRPr="00000000">
        <w:rPr>
          <w:b w:val="1"/>
          <w:rtl w:val="0"/>
        </w:rPr>
        <w:tab/>
      </w:r>
      <w:r w:rsidDel="00000000" w:rsidR="00000000" w:rsidRPr="00000000">
        <w:rPr>
          <w:rtl w:val="0"/>
        </w:rPr>
        <w:t xml:space="preserve">The least cost path analysis produced the shapefile shown below in Figure 1. As you can see, each path converges on the other paths, and for the last few miles leading up to Orick every path has converged into one path. </w:t>
      </w:r>
    </w:p>
    <w:p w:rsidR="00000000" w:rsidDel="00000000" w:rsidP="00000000" w:rsidRDefault="00000000" w:rsidRPr="00000000" w14:paraId="0000000F">
      <w:pPr>
        <w:pageBreakBefore w:val="0"/>
        <w:spacing w:line="480" w:lineRule="auto"/>
        <w:rPr>
          <w:b w:val="1"/>
        </w:rPr>
      </w:pPr>
      <w:r w:rsidDel="00000000" w:rsidR="00000000" w:rsidRPr="00000000">
        <w:rPr>
          <w:b w:val="1"/>
        </w:rPr>
        <w:drawing>
          <wp:inline distB="114300" distT="114300" distL="114300" distR="114300">
            <wp:extent cx="4595813" cy="3561511"/>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595813" cy="3561511"/>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pageBreakBefore w:val="0"/>
        <w:spacing w:line="480" w:lineRule="auto"/>
        <w:rPr>
          <w:b w:val="1"/>
        </w:rPr>
      </w:pPr>
      <w:r w:rsidDel="00000000" w:rsidR="00000000" w:rsidRPr="00000000">
        <w:rPr>
          <w:b w:val="1"/>
          <w:rtl w:val="0"/>
        </w:rPr>
        <w:t xml:space="preserve">Figure 1. The ten least cost paths from each of the dens to the town of Orick. </w:t>
      </w:r>
    </w:p>
    <w:p w:rsidR="00000000" w:rsidDel="00000000" w:rsidP="00000000" w:rsidRDefault="00000000" w:rsidRPr="00000000" w14:paraId="00000011">
      <w:pPr>
        <w:pageBreakBefore w:val="0"/>
        <w:spacing w:line="480" w:lineRule="auto"/>
        <w:rPr>
          <w:b w:val="1"/>
        </w:rPr>
      </w:pPr>
      <w:r w:rsidDel="00000000" w:rsidR="00000000" w:rsidRPr="00000000">
        <w:rPr>
          <w:rtl w:val="0"/>
        </w:rPr>
      </w:r>
    </w:p>
    <w:p w:rsidR="00000000" w:rsidDel="00000000" w:rsidP="00000000" w:rsidRDefault="00000000" w:rsidRPr="00000000" w14:paraId="00000012">
      <w:pPr>
        <w:pageBreakBefore w:val="0"/>
        <w:spacing w:line="480" w:lineRule="auto"/>
        <w:rPr/>
      </w:pPr>
      <w:r w:rsidDel="00000000" w:rsidR="00000000" w:rsidRPr="00000000">
        <w:rPr>
          <w:rtl w:val="0"/>
        </w:rPr>
        <w:tab/>
        <w:t xml:space="preserve">The Overall cost of each of the paths is shown in Table 1. Obviously, the highest cost path is the longest, this path is much higher in cost because a creature traveling along it would cross through a flat area on the north end of the study area, adding a large amount of cost. The other paths are fairly similar in value however since the paths converge down to a common path quite quickly after they begin. </w:t>
      </w:r>
    </w:p>
    <w:p w:rsidR="00000000" w:rsidDel="00000000" w:rsidP="00000000" w:rsidRDefault="00000000" w:rsidRPr="00000000" w14:paraId="00000013">
      <w:pPr>
        <w:pageBreakBefore w:val="0"/>
        <w:spacing w:line="480" w:lineRule="auto"/>
        <w:rPr>
          <w:b w:val="1"/>
        </w:rPr>
      </w:pPr>
      <w:r w:rsidDel="00000000" w:rsidR="00000000" w:rsidRPr="00000000">
        <w:rPr>
          <w:b w:val="1"/>
          <w:rtl w:val="0"/>
        </w:rPr>
        <w:t xml:space="preserve">Table 1. The cost of each of the paths created in the analysis. </w:t>
      </w:r>
    </w:p>
    <w:tbl>
      <w:tblPr>
        <w:tblStyle w:val="Table1"/>
        <w:tblW w:w="6825.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45"/>
        <w:gridCol w:w="2580"/>
        <w:tblGridChange w:id="0">
          <w:tblGrid>
            <w:gridCol w:w="4245"/>
            <w:gridCol w:w="2580"/>
          </w:tblGrid>
        </w:tblGridChange>
      </w:tblGrid>
      <w:tr>
        <w:trPr>
          <w:cantSplit w:val="0"/>
          <w:trHeight w:val="450" w:hRule="atLeast"/>
          <w:tblHeader w:val="0"/>
        </w:trPr>
        <w:tc>
          <w:tcPr>
            <w:tcBorders>
              <w:top w:color="767676" w:space="0" w:sz="12" w:val="single"/>
              <w:left w:color="767676" w:space="0" w:sz="12"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4">
            <w:pPr>
              <w:pageBreakBefore w:val="0"/>
              <w:widowControl w:val="0"/>
              <w:rPr/>
            </w:pPr>
            <w:r w:rsidDel="00000000" w:rsidR="00000000" w:rsidRPr="00000000">
              <w:rPr>
                <w:b w:val="1"/>
                <w:color w:val="111111"/>
                <w:rtl w:val="0"/>
              </w:rPr>
              <w:t xml:space="preserve">Den ID</w:t>
            </w:r>
            <w:r w:rsidDel="00000000" w:rsidR="00000000" w:rsidRPr="00000000">
              <w:rPr>
                <w:rtl w:val="0"/>
              </w:rPr>
            </w:r>
          </w:p>
        </w:tc>
        <w:tc>
          <w:tcPr>
            <w:tcBorders>
              <w:top w:color="767676" w:space="0" w:sz="12" w:val="single"/>
              <w:left w:color="cccccc" w:space="0" w:sz="6"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5">
            <w:pPr>
              <w:pageBreakBefore w:val="0"/>
              <w:widowControl w:val="0"/>
              <w:rPr/>
            </w:pPr>
            <w:r w:rsidDel="00000000" w:rsidR="00000000" w:rsidRPr="00000000">
              <w:rPr>
                <w:b w:val="1"/>
                <w:color w:val="111111"/>
                <w:rtl w:val="0"/>
              </w:rPr>
              <w:t xml:space="preserve">Path Cost</w:t>
            </w:r>
            <w:r w:rsidDel="00000000" w:rsidR="00000000" w:rsidRPr="00000000">
              <w:rPr>
                <w:rtl w:val="0"/>
              </w:rPr>
            </w:r>
          </w:p>
        </w:tc>
      </w:tr>
      <w:tr>
        <w:trPr>
          <w:cantSplit w:val="0"/>
          <w:trHeight w:val="465" w:hRule="atLeast"/>
          <w:tblHeader w:val="0"/>
        </w:trPr>
        <w:tc>
          <w:tcPr>
            <w:tcBorders>
              <w:top w:color="cccccc" w:space="0" w:sz="6" w:val="single"/>
              <w:left w:color="767676" w:space="0" w:sz="12"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6">
            <w:pPr>
              <w:pageBreakBefore w:val="0"/>
              <w:widowControl w:val="0"/>
              <w:rPr/>
            </w:pPr>
            <w:r w:rsidDel="00000000" w:rsidR="00000000" w:rsidRPr="00000000">
              <w:rPr>
                <w:color w:val="111111"/>
                <w:rtl w:val="0"/>
              </w:rPr>
              <w:t xml:space="preserve">A</w:t>
            </w:r>
            <w:r w:rsidDel="00000000" w:rsidR="00000000" w:rsidRPr="00000000">
              <w:rPr>
                <w:rtl w:val="0"/>
              </w:rPr>
            </w:r>
          </w:p>
        </w:tc>
        <w:tc>
          <w:tcPr>
            <w:tcBorders>
              <w:top w:color="cccccc" w:space="0" w:sz="6" w:val="single"/>
              <w:left w:color="cccccc" w:space="0" w:sz="6"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7">
            <w:pPr>
              <w:pageBreakBefore w:val="0"/>
              <w:widowControl w:val="0"/>
              <w:jc w:val="right"/>
              <w:rPr/>
            </w:pPr>
            <w:r w:rsidDel="00000000" w:rsidR="00000000" w:rsidRPr="00000000">
              <w:rPr>
                <w:color w:val="111111"/>
                <w:rtl w:val="0"/>
              </w:rPr>
              <w:t xml:space="preserve">1757620</w:t>
            </w:r>
            <w:r w:rsidDel="00000000" w:rsidR="00000000" w:rsidRPr="00000000">
              <w:rPr>
                <w:rtl w:val="0"/>
              </w:rPr>
            </w:r>
          </w:p>
        </w:tc>
      </w:tr>
      <w:tr>
        <w:trPr>
          <w:cantSplit w:val="0"/>
          <w:trHeight w:val="435" w:hRule="atLeast"/>
          <w:tblHeader w:val="0"/>
        </w:trPr>
        <w:tc>
          <w:tcPr>
            <w:tcBorders>
              <w:top w:color="cccccc" w:space="0" w:sz="6" w:val="single"/>
              <w:left w:color="767676" w:space="0" w:sz="12"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8">
            <w:pPr>
              <w:pageBreakBefore w:val="0"/>
              <w:widowControl w:val="0"/>
              <w:rPr/>
            </w:pPr>
            <w:r w:rsidDel="00000000" w:rsidR="00000000" w:rsidRPr="00000000">
              <w:rPr>
                <w:color w:val="111111"/>
                <w:rtl w:val="0"/>
              </w:rPr>
              <w:t xml:space="preserve">B</w:t>
            </w:r>
            <w:r w:rsidDel="00000000" w:rsidR="00000000" w:rsidRPr="00000000">
              <w:rPr>
                <w:rtl w:val="0"/>
              </w:rPr>
            </w:r>
          </w:p>
        </w:tc>
        <w:tc>
          <w:tcPr>
            <w:tcBorders>
              <w:top w:color="cccccc" w:space="0" w:sz="6" w:val="single"/>
              <w:left w:color="cccccc" w:space="0" w:sz="6"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9">
            <w:pPr>
              <w:pageBreakBefore w:val="0"/>
              <w:widowControl w:val="0"/>
              <w:jc w:val="right"/>
              <w:rPr/>
            </w:pPr>
            <w:r w:rsidDel="00000000" w:rsidR="00000000" w:rsidRPr="00000000">
              <w:rPr>
                <w:color w:val="111111"/>
                <w:rtl w:val="0"/>
              </w:rPr>
              <w:t xml:space="preserve">1028470</w:t>
            </w:r>
            <w:r w:rsidDel="00000000" w:rsidR="00000000" w:rsidRPr="00000000">
              <w:rPr>
                <w:rtl w:val="0"/>
              </w:rPr>
            </w:r>
          </w:p>
        </w:tc>
      </w:tr>
      <w:tr>
        <w:trPr>
          <w:cantSplit w:val="0"/>
          <w:trHeight w:val="435" w:hRule="atLeast"/>
          <w:tblHeader w:val="0"/>
        </w:trPr>
        <w:tc>
          <w:tcPr>
            <w:tcBorders>
              <w:top w:color="cccccc" w:space="0" w:sz="6" w:val="single"/>
              <w:left w:color="767676" w:space="0" w:sz="12"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A">
            <w:pPr>
              <w:pageBreakBefore w:val="0"/>
              <w:widowControl w:val="0"/>
              <w:rPr/>
            </w:pPr>
            <w:r w:rsidDel="00000000" w:rsidR="00000000" w:rsidRPr="00000000">
              <w:rPr>
                <w:color w:val="111111"/>
                <w:rtl w:val="0"/>
              </w:rPr>
              <w:t xml:space="preserve">C</w:t>
            </w:r>
            <w:r w:rsidDel="00000000" w:rsidR="00000000" w:rsidRPr="00000000">
              <w:rPr>
                <w:rtl w:val="0"/>
              </w:rPr>
            </w:r>
          </w:p>
        </w:tc>
        <w:tc>
          <w:tcPr>
            <w:tcBorders>
              <w:top w:color="cccccc" w:space="0" w:sz="6" w:val="single"/>
              <w:left w:color="cccccc" w:space="0" w:sz="6"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B">
            <w:pPr>
              <w:pageBreakBefore w:val="0"/>
              <w:widowControl w:val="0"/>
              <w:jc w:val="right"/>
              <w:rPr/>
            </w:pPr>
            <w:r w:rsidDel="00000000" w:rsidR="00000000" w:rsidRPr="00000000">
              <w:rPr>
                <w:color w:val="111111"/>
                <w:rtl w:val="0"/>
              </w:rPr>
              <w:t xml:space="preserve">1226230</w:t>
            </w:r>
            <w:r w:rsidDel="00000000" w:rsidR="00000000" w:rsidRPr="00000000">
              <w:rPr>
                <w:rtl w:val="0"/>
              </w:rPr>
            </w:r>
          </w:p>
        </w:tc>
      </w:tr>
      <w:tr>
        <w:trPr>
          <w:cantSplit w:val="0"/>
          <w:trHeight w:val="435" w:hRule="atLeast"/>
          <w:tblHeader w:val="0"/>
        </w:trPr>
        <w:tc>
          <w:tcPr>
            <w:tcBorders>
              <w:top w:color="cccccc" w:space="0" w:sz="6" w:val="single"/>
              <w:left w:color="767676" w:space="0" w:sz="12"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C">
            <w:pPr>
              <w:pageBreakBefore w:val="0"/>
              <w:widowControl w:val="0"/>
              <w:rPr/>
            </w:pPr>
            <w:r w:rsidDel="00000000" w:rsidR="00000000" w:rsidRPr="00000000">
              <w:rPr>
                <w:color w:val="111111"/>
                <w:rtl w:val="0"/>
              </w:rPr>
              <w:t xml:space="preserve">D</w:t>
            </w:r>
            <w:r w:rsidDel="00000000" w:rsidR="00000000" w:rsidRPr="00000000">
              <w:rPr>
                <w:rtl w:val="0"/>
              </w:rPr>
            </w:r>
          </w:p>
        </w:tc>
        <w:tc>
          <w:tcPr>
            <w:tcBorders>
              <w:top w:color="cccccc" w:space="0" w:sz="6" w:val="single"/>
              <w:left w:color="cccccc" w:space="0" w:sz="6"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D">
            <w:pPr>
              <w:pageBreakBefore w:val="0"/>
              <w:widowControl w:val="0"/>
              <w:jc w:val="right"/>
              <w:rPr/>
            </w:pPr>
            <w:r w:rsidDel="00000000" w:rsidR="00000000" w:rsidRPr="00000000">
              <w:rPr>
                <w:color w:val="111111"/>
                <w:rtl w:val="0"/>
              </w:rPr>
              <w:t xml:space="preserve">1314440</w:t>
            </w:r>
            <w:r w:rsidDel="00000000" w:rsidR="00000000" w:rsidRPr="00000000">
              <w:rPr>
                <w:rtl w:val="0"/>
              </w:rPr>
            </w:r>
          </w:p>
        </w:tc>
      </w:tr>
      <w:tr>
        <w:trPr>
          <w:cantSplit w:val="0"/>
          <w:trHeight w:val="435" w:hRule="atLeast"/>
          <w:tblHeader w:val="0"/>
        </w:trPr>
        <w:tc>
          <w:tcPr>
            <w:tcBorders>
              <w:top w:color="cccccc" w:space="0" w:sz="6" w:val="single"/>
              <w:left w:color="767676" w:space="0" w:sz="12"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E">
            <w:pPr>
              <w:pageBreakBefore w:val="0"/>
              <w:widowControl w:val="0"/>
              <w:rPr/>
            </w:pPr>
            <w:r w:rsidDel="00000000" w:rsidR="00000000" w:rsidRPr="00000000">
              <w:rPr>
                <w:color w:val="111111"/>
                <w:rtl w:val="0"/>
              </w:rPr>
              <w:t xml:space="preserve">E</w:t>
            </w:r>
            <w:r w:rsidDel="00000000" w:rsidR="00000000" w:rsidRPr="00000000">
              <w:rPr>
                <w:rtl w:val="0"/>
              </w:rPr>
            </w:r>
          </w:p>
        </w:tc>
        <w:tc>
          <w:tcPr>
            <w:tcBorders>
              <w:top w:color="cccccc" w:space="0" w:sz="6" w:val="single"/>
              <w:left w:color="cccccc" w:space="0" w:sz="6"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1F">
            <w:pPr>
              <w:pageBreakBefore w:val="0"/>
              <w:widowControl w:val="0"/>
              <w:jc w:val="right"/>
              <w:rPr/>
            </w:pPr>
            <w:r w:rsidDel="00000000" w:rsidR="00000000" w:rsidRPr="00000000">
              <w:rPr>
                <w:color w:val="111111"/>
                <w:rtl w:val="0"/>
              </w:rPr>
              <w:t xml:space="preserve">1257510</w:t>
            </w:r>
            <w:r w:rsidDel="00000000" w:rsidR="00000000" w:rsidRPr="00000000">
              <w:rPr>
                <w:rtl w:val="0"/>
              </w:rPr>
            </w:r>
          </w:p>
        </w:tc>
      </w:tr>
      <w:tr>
        <w:trPr>
          <w:cantSplit w:val="0"/>
          <w:trHeight w:val="435" w:hRule="atLeast"/>
          <w:tblHeader w:val="0"/>
        </w:trPr>
        <w:tc>
          <w:tcPr>
            <w:tcBorders>
              <w:top w:color="cccccc" w:space="0" w:sz="6" w:val="single"/>
              <w:left w:color="767676" w:space="0" w:sz="12"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20">
            <w:pPr>
              <w:pageBreakBefore w:val="0"/>
              <w:widowControl w:val="0"/>
              <w:rPr/>
            </w:pPr>
            <w:r w:rsidDel="00000000" w:rsidR="00000000" w:rsidRPr="00000000">
              <w:rPr>
                <w:color w:val="111111"/>
                <w:rtl w:val="0"/>
              </w:rPr>
              <w:t xml:space="preserve">F</w:t>
            </w:r>
            <w:r w:rsidDel="00000000" w:rsidR="00000000" w:rsidRPr="00000000">
              <w:rPr>
                <w:rtl w:val="0"/>
              </w:rPr>
            </w:r>
          </w:p>
        </w:tc>
        <w:tc>
          <w:tcPr>
            <w:tcBorders>
              <w:top w:color="cccccc" w:space="0" w:sz="6" w:val="single"/>
              <w:left w:color="cccccc" w:space="0" w:sz="6"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21">
            <w:pPr>
              <w:pageBreakBefore w:val="0"/>
              <w:widowControl w:val="0"/>
              <w:jc w:val="right"/>
              <w:rPr/>
            </w:pPr>
            <w:r w:rsidDel="00000000" w:rsidR="00000000" w:rsidRPr="00000000">
              <w:rPr>
                <w:color w:val="111111"/>
                <w:rtl w:val="0"/>
              </w:rPr>
              <w:t xml:space="preserve">1184760</w:t>
            </w:r>
            <w:r w:rsidDel="00000000" w:rsidR="00000000" w:rsidRPr="00000000">
              <w:rPr>
                <w:rtl w:val="0"/>
              </w:rPr>
            </w:r>
          </w:p>
        </w:tc>
      </w:tr>
      <w:tr>
        <w:trPr>
          <w:cantSplit w:val="0"/>
          <w:trHeight w:val="435" w:hRule="atLeast"/>
          <w:tblHeader w:val="0"/>
        </w:trPr>
        <w:tc>
          <w:tcPr>
            <w:tcBorders>
              <w:top w:color="cccccc" w:space="0" w:sz="6" w:val="single"/>
              <w:left w:color="767676" w:space="0" w:sz="12"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22">
            <w:pPr>
              <w:pageBreakBefore w:val="0"/>
              <w:widowControl w:val="0"/>
              <w:rPr/>
            </w:pPr>
            <w:r w:rsidDel="00000000" w:rsidR="00000000" w:rsidRPr="00000000">
              <w:rPr>
                <w:color w:val="111111"/>
                <w:rtl w:val="0"/>
              </w:rPr>
              <w:t xml:space="preserve">G</w:t>
            </w:r>
            <w:r w:rsidDel="00000000" w:rsidR="00000000" w:rsidRPr="00000000">
              <w:rPr>
                <w:rtl w:val="0"/>
              </w:rPr>
            </w:r>
          </w:p>
        </w:tc>
        <w:tc>
          <w:tcPr>
            <w:tcBorders>
              <w:top w:color="cccccc" w:space="0" w:sz="6" w:val="single"/>
              <w:left w:color="cccccc" w:space="0" w:sz="6"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23">
            <w:pPr>
              <w:pageBreakBefore w:val="0"/>
              <w:widowControl w:val="0"/>
              <w:jc w:val="right"/>
              <w:rPr/>
            </w:pPr>
            <w:r w:rsidDel="00000000" w:rsidR="00000000" w:rsidRPr="00000000">
              <w:rPr>
                <w:color w:val="111111"/>
                <w:rtl w:val="0"/>
              </w:rPr>
              <w:t xml:space="preserve">1357150</w:t>
            </w:r>
            <w:r w:rsidDel="00000000" w:rsidR="00000000" w:rsidRPr="00000000">
              <w:rPr>
                <w:rtl w:val="0"/>
              </w:rPr>
            </w:r>
          </w:p>
        </w:tc>
      </w:tr>
      <w:tr>
        <w:trPr>
          <w:cantSplit w:val="0"/>
          <w:trHeight w:val="435" w:hRule="atLeast"/>
          <w:tblHeader w:val="0"/>
        </w:trPr>
        <w:tc>
          <w:tcPr>
            <w:tcBorders>
              <w:top w:color="cccccc" w:space="0" w:sz="6" w:val="single"/>
              <w:left w:color="767676" w:space="0" w:sz="12"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24">
            <w:pPr>
              <w:pageBreakBefore w:val="0"/>
              <w:widowControl w:val="0"/>
              <w:rPr/>
            </w:pPr>
            <w:r w:rsidDel="00000000" w:rsidR="00000000" w:rsidRPr="00000000">
              <w:rPr>
                <w:color w:val="111111"/>
                <w:rtl w:val="0"/>
              </w:rPr>
              <w:t xml:space="preserve">H</w:t>
            </w:r>
            <w:r w:rsidDel="00000000" w:rsidR="00000000" w:rsidRPr="00000000">
              <w:rPr>
                <w:rtl w:val="0"/>
              </w:rPr>
            </w:r>
          </w:p>
        </w:tc>
        <w:tc>
          <w:tcPr>
            <w:tcBorders>
              <w:top w:color="cccccc" w:space="0" w:sz="6" w:val="single"/>
              <w:left w:color="cccccc" w:space="0" w:sz="6"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25">
            <w:pPr>
              <w:pageBreakBefore w:val="0"/>
              <w:widowControl w:val="0"/>
              <w:jc w:val="right"/>
              <w:rPr/>
            </w:pPr>
            <w:r w:rsidDel="00000000" w:rsidR="00000000" w:rsidRPr="00000000">
              <w:rPr>
                <w:color w:val="111111"/>
                <w:rtl w:val="0"/>
              </w:rPr>
              <w:t xml:space="preserve">1249320</w:t>
            </w:r>
            <w:r w:rsidDel="00000000" w:rsidR="00000000" w:rsidRPr="00000000">
              <w:rPr>
                <w:rtl w:val="0"/>
              </w:rPr>
            </w:r>
          </w:p>
        </w:tc>
      </w:tr>
      <w:tr>
        <w:trPr>
          <w:cantSplit w:val="0"/>
          <w:trHeight w:val="435" w:hRule="atLeast"/>
          <w:tblHeader w:val="0"/>
        </w:trPr>
        <w:tc>
          <w:tcPr>
            <w:tcBorders>
              <w:top w:color="cccccc" w:space="0" w:sz="6" w:val="single"/>
              <w:left w:color="767676" w:space="0" w:sz="12"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26">
            <w:pPr>
              <w:pageBreakBefore w:val="0"/>
              <w:widowControl w:val="0"/>
              <w:rPr/>
            </w:pPr>
            <w:r w:rsidDel="00000000" w:rsidR="00000000" w:rsidRPr="00000000">
              <w:rPr>
                <w:color w:val="111111"/>
                <w:rtl w:val="0"/>
              </w:rPr>
              <w:t xml:space="preserve">I</w:t>
            </w:r>
            <w:r w:rsidDel="00000000" w:rsidR="00000000" w:rsidRPr="00000000">
              <w:rPr>
                <w:rtl w:val="0"/>
              </w:rPr>
            </w:r>
          </w:p>
        </w:tc>
        <w:tc>
          <w:tcPr>
            <w:tcBorders>
              <w:top w:color="cccccc" w:space="0" w:sz="6" w:val="single"/>
              <w:left w:color="cccccc" w:space="0" w:sz="6"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27">
            <w:pPr>
              <w:pageBreakBefore w:val="0"/>
              <w:widowControl w:val="0"/>
              <w:jc w:val="right"/>
              <w:rPr/>
            </w:pPr>
            <w:r w:rsidDel="00000000" w:rsidR="00000000" w:rsidRPr="00000000">
              <w:rPr>
                <w:color w:val="111111"/>
                <w:rtl w:val="0"/>
              </w:rPr>
              <w:t xml:space="preserve">1163000</w:t>
            </w:r>
            <w:r w:rsidDel="00000000" w:rsidR="00000000" w:rsidRPr="00000000">
              <w:rPr>
                <w:rtl w:val="0"/>
              </w:rPr>
            </w:r>
          </w:p>
        </w:tc>
      </w:tr>
      <w:tr>
        <w:trPr>
          <w:cantSplit w:val="0"/>
          <w:trHeight w:val="435" w:hRule="atLeast"/>
          <w:tblHeader w:val="0"/>
        </w:trPr>
        <w:tc>
          <w:tcPr>
            <w:tcBorders>
              <w:top w:color="cccccc" w:space="0" w:sz="6" w:val="single"/>
              <w:left w:color="767676" w:space="0" w:sz="12"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28">
            <w:pPr>
              <w:pageBreakBefore w:val="0"/>
              <w:widowControl w:val="0"/>
              <w:rPr/>
            </w:pPr>
            <w:r w:rsidDel="00000000" w:rsidR="00000000" w:rsidRPr="00000000">
              <w:rPr>
                <w:color w:val="111111"/>
                <w:rtl w:val="0"/>
              </w:rPr>
              <w:t xml:space="preserve">J</w:t>
            </w:r>
            <w:r w:rsidDel="00000000" w:rsidR="00000000" w:rsidRPr="00000000">
              <w:rPr>
                <w:rtl w:val="0"/>
              </w:rPr>
            </w:r>
          </w:p>
        </w:tc>
        <w:tc>
          <w:tcPr>
            <w:tcBorders>
              <w:top w:color="cccccc" w:space="0" w:sz="6" w:val="single"/>
              <w:left w:color="cccccc" w:space="0" w:sz="6" w:val="single"/>
              <w:bottom w:color="767676" w:space="0" w:sz="12" w:val="single"/>
              <w:right w:color="767676" w:space="0" w:sz="12" w:val="single"/>
            </w:tcBorders>
            <w:shd w:fill="ffffff" w:val="clear"/>
            <w:tcMar>
              <w:top w:w="0.0" w:type="dxa"/>
              <w:left w:w="40.0" w:type="dxa"/>
              <w:bottom w:w="0.0" w:type="dxa"/>
              <w:right w:w="40.0" w:type="dxa"/>
            </w:tcMar>
            <w:vAlign w:val="center"/>
          </w:tcPr>
          <w:p w:rsidR="00000000" w:rsidDel="00000000" w:rsidP="00000000" w:rsidRDefault="00000000" w:rsidRPr="00000000" w14:paraId="00000029">
            <w:pPr>
              <w:pageBreakBefore w:val="0"/>
              <w:widowControl w:val="0"/>
              <w:jc w:val="right"/>
              <w:rPr/>
            </w:pPr>
            <w:r w:rsidDel="00000000" w:rsidR="00000000" w:rsidRPr="00000000">
              <w:rPr>
                <w:color w:val="111111"/>
                <w:rtl w:val="0"/>
              </w:rPr>
              <w:t xml:space="preserve">1179860</w:t>
            </w:r>
            <w:r w:rsidDel="00000000" w:rsidR="00000000" w:rsidRPr="00000000">
              <w:rPr>
                <w:rtl w:val="0"/>
              </w:rPr>
            </w:r>
          </w:p>
        </w:tc>
      </w:tr>
    </w:tbl>
    <w:p w:rsidR="00000000" w:rsidDel="00000000" w:rsidP="00000000" w:rsidRDefault="00000000" w:rsidRPr="00000000" w14:paraId="0000002A">
      <w:pPr>
        <w:pageBreakBefore w:val="0"/>
        <w:spacing w:line="480" w:lineRule="auto"/>
        <w:rPr>
          <w:b w:val="1"/>
        </w:rPr>
      </w:pPr>
      <w:r w:rsidDel="00000000" w:rsidR="00000000" w:rsidRPr="00000000">
        <w:rPr>
          <w:rtl w:val="0"/>
        </w:rPr>
      </w:r>
    </w:p>
    <w:p w:rsidR="00000000" w:rsidDel="00000000" w:rsidP="00000000" w:rsidRDefault="00000000" w:rsidRPr="00000000" w14:paraId="0000002B">
      <w:pPr>
        <w:pageBreakBefore w:val="0"/>
        <w:spacing w:line="480" w:lineRule="auto"/>
        <w:rPr>
          <w:b w:val="1"/>
        </w:rPr>
      </w:pPr>
      <w:r w:rsidDel="00000000" w:rsidR="00000000" w:rsidRPr="00000000">
        <w:rPr>
          <w:b w:val="1"/>
          <w:rtl w:val="0"/>
        </w:rPr>
        <w:t xml:space="preserve">Conclusion:</w:t>
      </w:r>
    </w:p>
    <w:p w:rsidR="00000000" w:rsidDel="00000000" w:rsidP="00000000" w:rsidRDefault="00000000" w:rsidRPr="00000000" w14:paraId="0000002C">
      <w:pPr>
        <w:pageBreakBefore w:val="0"/>
        <w:spacing w:line="480" w:lineRule="auto"/>
        <w:rPr/>
      </w:pPr>
      <w:r w:rsidDel="00000000" w:rsidR="00000000" w:rsidRPr="00000000">
        <w:rPr>
          <w:b w:val="1"/>
          <w:rtl w:val="0"/>
        </w:rPr>
        <w:tab/>
      </w:r>
      <w:r w:rsidDel="00000000" w:rsidR="00000000" w:rsidRPr="00000000">
        <w:rPr>
          <w:rtl w:val="0"/>
        </w:rPr>
        <w:t xml:space="preserve">Although it is absurd to study mythical creatures, and their migration patterns based on anecdotal information, it is extremely useful to be able to compile numerous criteria and determine a least-cost path with such ease. There is an endless list of useful applications for these methods which go far beyond determining the migration patterns of mythical creatures. </w:t>
      </w:r>
    </w:p>
    <w:p w:rsidR="00000000" w:rsidDel="00000000" w:rsidP="00000000" w:rsidRDefault="00000000" w:rsidRPr="00000000" w14:paraId="0000002D">
      <w:pPr>
        <w:pageBreakBefore w:val="0"/>
        <w:spacing w:line="480" w:lineRule="auto"/>
        <w:rPr/>
      </w:pPr>
      <w:r w:rsidDel="00000000" w:rsidR="00000000" w:rsidRPr="00000000">
        <w:rPr>
          <w:rtl w:val="0"/>
        </w:rPr>
      </w:r>
    </w:p>
    <w:p w:rsidR="00000000" w:rsidDel="00000000" w:rsidP="00000000" w:rsidRDefault="00000000" w:rsidRPr="00000000" w14:paraId="0000002E">
      <w:pPr>
        <w:pageBreakBefore w:val="0"/>
        <w:spacing w:line="480" w:lineRule="auto"/>
        <w:jc w:val="center"/>
        <w:rPr>
          <w:b w:val="1"/>
        </w:rPr>
      </w:pPr>
      <w:r w:rsidDel="00000000" w:rsidR="00000000" w:rsidRPr="00000000">
        <w:rPr>
          <w:b w:val="1"/>
          <w:rtl w:val="0"/>
        </w:rPr>
        <w:t xml:space="preserve">Works Cited</w:t>
      </w:r>
    </w:p>
    <w:p w:rsidR="00000000" w:rsidDel="00000000" w:rsidP="00000000" w:rsidRDefault="00000000" w:rsidRPr="00000000" w14:paraId="0000002F">
      <w:pPr>
        <w:pageBreakBefore w:val="0"/>
        <w:rPr/>
      </w:pPr>
      <w:r w:rsidDel="00000000" w:rsidR="00000000" w:rsidRPr="00000000">
        <w:rPr>
          <w:rtl w:val="0"/>
        </w:rPr>
        <w:t xml:space="preserve">Bagli, S., Geneletti, D., &amp; Orsi, F. (2011). Routing of power lines through least-cost path analysis and multicriteria evaluation to minimize environmental impacts. Environmental Impact Assessment Review, 31(3), 234–239. https://doi.org/10.1016/j.eiar.2010.10.003</w:t>
      </w:r>
      <w:r w:rsidDel="00000000" w:rsidR="00000000" w:rsidRPr="00000000">
        <w:rPr>
          <w:rtl w:val="0"/>
        </w:rPr>
      </w:r>
    </w:p>
    <w:p w:rsidR="00000000" w:rsidDel="00000000" w:rsidP="00000000" w:rsidRDefault="00000000" w:rsidRPr="00000000" w14:paraId="00000030">
      <w:pPr>
        <w:pageBreakBefore w:val="0"/>
        <w:spacing w:line="480" w:lineRule="auto"/>
        <w:jc w:val="center"/>
        <w:rPr>
          <w:b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